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210935" cy="8540796"/>
            <wp:effectExtent l="0" t="0" r="0" b="0"/>
            <wp:docPr id="1" name="Рисунок 1" descr="C:\Users\УЧЕНИК\Pictures\2021-06-22\Самообследование СП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1-06-22\Самообследование СПД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2D" w:rsidRDefault="0054112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групп – 2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группы общеразвивающей направленности 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920"/>
        <w:gridCol w:w="1596"/>
        <w:gridCol w:w="3119"/>
      </w:tblGrid>
      <w:tr w:rsidR="003E36FB" w:rsidRPr="003E36FB" w:rsidTr="003E36F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/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Количество детей</w:t>
            </w:r>
          </w:p>
        </w:tc>
      </w:tr>
      <w:tr w:rsidR="003E36FB" w:rsidRPr="003E36FB" w:rsidTr="003E36F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Ирбисы»  (</w:t>
            </w:r>
            <w:proofErr w:type="gramStart"/>
            <w:r w:rsidR="0045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4-5;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E36FB" w:rsidRPr="003E36FB" w:rsidTr="003E36FB">
        <w:trPr>
          <w:trHeight w:val="2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E36FB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E36F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Барсики</w:t>
            </w:r>
            <w:proofErr w:type="spell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E36FB" w:rsidRPr="003E36FB" w:rsidTr="003E36FB">
        <w:trPr>
          <w:trHeight w:val="3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6F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Оценка системы управления учреждения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2.1.Система управления организации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Управление  структурным подразделением дошкольные группы МБОУ СОШ № 48  осуществляется директором школы  в соответствии с Уставом МБОУСОШ № 48  и законодательством РФ, строится на принципах единоначалия и самоуправления. В структурном подразделении ДГ реализуется возможность участия в управлении учреждением всех участников образовательного процесса.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Структура управления образовательным учреждением.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 структура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государственно-общественное управление: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совет, Общее собрание работников,  Родительский комитет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 структура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административное управление, которое имеет линейную структуру: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 уровень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директор МБОУ СОШ № 48. Непосредственное руководство СП ДГ МБОУ СОШ № 48  осуществляет директор  - 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И.О.Найфонова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Управленческая деятельность директора 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СПДГ. Объект управления директора  - весь коллектив.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 уровень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руководитель СП Д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Дзодзаева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медицинская сестра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И.В.;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 по административно-хозяйственной работе –</w:t>
      </w:r>
      <w:r w:rsidR="0045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управленцев второго уровня - часть коллектива согласно функциональным обязанностям.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контролирует санитарное состояние помещений и участков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 по административно-хозяйственной работе</w:t>
      </w:r>
      <w:r w:rsidRPr="003E3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за сохранность здания МБОУ СОШ № 48  и имущества, организует материально-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снабжение педагогического процесса, противопожарную безопасность и организацию труда обслуживающего персонала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9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56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Вакансия)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п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совет осуществляет руководство образовательной деятельностью.</w:t>
      </w: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Оценка содержания и качества подготовки воспитанников.</w:t>
      </w:r>
    </w:p>
    <w:p w:rsidR="003E36FB" w:rsidRPr="003E36FB" w:rsidRDefault="004569D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Разработаны рабочие программы  к ООП </w:t>
      </w:r>
      <w:proofErr w:type="gram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СПДГ.</w:t>
      </w:r>
    </w:p>
    <w:p w:rsidR="003E36FB" w:rsidRPr="003E36FB" w:rsidRDefault="004569D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комфортные условия для осуществления образовательного процесса;</w:t>
      </w:r>
    </w:p>
    <w:p w:rsidR="003E36FB" w:rsidRPr="003E36FB" w:rsidRDefault="004569D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уровень квалификации педагогического состава.</w:t>
      </w:r>
    </w:p>
    <w:p w:rsidR="003E36FB" w:rsidRPr="003E36FB" w:rsidRDefault="004569DD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Расширилась система взаимодействия с родителями.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2.Анализ и оценка образовательной программы СПДГ МБОУ СОШ № 48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СПДГ  реализуется 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основная образовательная программа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Программа), разработанная</w:t>
      </w:r>
      <w:r w:rsidRPr="003E3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3E3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государственным образовательным стандартом дошкольного образования, творческой группой педагогических работников структурного подразделения под руководством руководителя.</w:t>
      </w:r>
    </w:p>
    <w:p w:rsidR="003E36FB" w:rsidRPr="003E36FB" w:rsidRDefault="003E36FB" w:rsidP="00D033D3">
      <w:pPr>
        <w:spacing w:after="0"/>
        <w:jc w:val="both"/>
        <w:rPr>
          <w:rFonts w:ascii="Arial, Helvetica, sans-serif" w:eastAsia="Andale Sans UI" w:hAnsi="Arial, Helvetica, sans-serif" w:cs="Tahoma"/>
          <w:color w:val="0F1419"/>
          <w:kern w:val="3"/>
          <w:sz w:val="24"/>
          <w:szCs w:val="24"/>
          <w:lang w:eastAsia="ja-JP" w:bidi="fa-IR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осуществления интеллектуального развития воспитанников использовались следующие 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программы и методики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36FB">
        <w:rPr>
          <w:rFonts w:ascii="Arial, Helvetica, sans-serif" w:eastAsia="Andale Sans UI" w:hAnsi="Arial, Helvetica, sans-serif" w:cs="Tahoma"/>
          <w:color w:val="0F1419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>образовательн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ая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 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а  « От рождения до школы» 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>под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>редакцией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 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Н. Е. 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Вераксы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, Т.С. Комаровой,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 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М.А.</w:t>
      </w:r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val="de-DE" w:eastAsia="ja-JP" w:bidi="fa-IR"/>
        </w:rPr>
        <w:t xml:space="preserve"> В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асильевой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; О.В.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Дыбина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 « Ознакомление с предметным и социальным окружением»; « Развитие речи в детском саду» под редакцией В. В. Гербовой. Использовались рабочие тетради</w:t>
      </w:r>
      <w:proofErr w:type="gram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:«</w:t>
      </w:r>
      <w:proofErr w:type="gram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Игралочка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» 3-4,Л.Г.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Петерсон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, Н.П. Холина, « По дороге к азбуке» под редакцией Н.Е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Бунеева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 xml:space="preserve">., « Здравствуй, мир! – А.А. Вахрушев, Е.Е. </w:t>
      </w:r>
      <w:proofErr w:type="spellStart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Кочемасова</w:t>
      </w:r>
      <w:proofErr w:type="spellEnd"/>
      <w:r w:rsidRPr="003E36FB">
        <w:rPr>
          <w:rFonts w:ascii="Times New Roman" w:eastAsia="Andale Sans UI" w:hAnsi="Times New Roman" w:cs="Times New Roman"/>
          <w:color w:val="0F1419"/>
          <w:kern w:val="3"/>
          <w:sz w:val="28"/>
          <w:szCs w:val="28"/>
          <w:lang w:eastAsia="ja-JP" w:bidi="fa-IR"/>
        </w:rPr>
        <w:t>, рабочие тетради из серии «Семь гномов»- Математика для дошкольников, Уроки грамоты для дошкольников, Развитие речи у дошкольников и др.</w:t>
      </w:r>
      <w:r w:rsidRPr="003E36FB">
        <w:rPr>
          <w:rFonts w:ascii="Arial, Helvetica, sans-serif" w:eastAsia="Andale Sans UI" w:hAnsi="Arial, Helvetica, sans-serif" w:cs="Tahoma"/>
          <w:color w:val="0F1419"/>
          <w:kern w:val="3"/>
          <w:sz w:val="24"/>
          <w:szCs w:val="24"/>
          <w:lang w:eastAsia="ja-JP" w:bidi="fa-IR"/>
        </w:rPr>
        <w:t xml:space="preserve"> 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учитывались следующие нормативные документы: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1.Федеральный закон от 29 декабря 2012 г. №273-ФЗ «Об образовании в РФ»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(вступил в силу 01.09. 2013 г.)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2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Министерства образования и науки РФ от 17 октября 2013 г. № 1155 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«Об утверждении федерального государственного образовательного стандарта дошкольного образования</w:t>
      </w:r>
      <w:proofErr w:type="gramStart"/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14 ноября 2013 г. № 30384)</w:t>
      </w:r>
    </w:p>
    <w:p w:rsidR="00693B7C" w:rsidRPr="003E36FB" w:rsidRDefault="00A10E8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B7C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октября </w:t>
      </w:r>
      <w:r w:rsidR="00693B7C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3B7C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93B7C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СанПиН   2.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3/2.4.3590-20</w:t>
      </w:r>
      <w:r w:rsidR="00693B7C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3B7C"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«Санитарно-эпидемиологические требования к </w:t>
      </w:r>
      <w:r w:rsidR="00693B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организации </w:t>
      </w:r>
      <w:r w:rsidR="00693B7C"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93B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общественного питания населения</w:t>
      </w:r>
      <w:proofErr w:type="gramStart"/>
      <w:r w:rsidR="00693B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="00693B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Вступил в силу 01.01. 2021 до 01.01.2027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5. 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3B7C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Порядка организации и осуществления образовательной 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деятельности по основным общеобразовательным программам – образовательным программам дошкольного образования»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(Зарегистрировано в Минюсте России </w:t>
      </w:r>
      <w:r w:rsidR="00E05A7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5A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5A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5A78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36FB" w:rsidRPr="003E36FB" w:rsidRDefault="00E05A78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.Программа « От рождения до школы» ( под </w:t>
      </w:r>
      <w:proofErr w:type="spell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редакц.Н.Е</w:t>
      </w:r>
      <w:proofErr w:type="spellEnd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gram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МОЗАИКА – СИНТЕЗ.2017),</w:t>
      </w:r>
      <w:r w:rsidR="0084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ФГОС ДО.</w:t>
      </w:r>
    </w:p>
    <w:p w:rsidR="003E36FB" w:rsidRDefault="00E05A78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36FB"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Устав 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СОШ№ 48 г. Владикавказа.</w:t>
      </w:r>
    </w:p>
    <w:p w:rsidR="00D033D3" w:rsidRPr="003E36FB" w:rsidRDefault="00D033D3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Структура Образовательной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420"/>
      </w:tblGrid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разделов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Целевой раздел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Пояснительная записка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 освоения Программы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-Целевые ориентиры образования в раннем возрасте</w:t>
            </w:r>
          </w:p>
        </w:tc>
      </w:tr>
      <w:tr w:rsidR="003E36FB" w:rsidRPr="003E36FB" w:rsidTr="003E36FB">
        <w:trPr>
          <w:trHeight w:val="3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Целевые ориентиры на этапе завершения дошкольного образования</w:t>
            </w:r>
          </w:p>
        </w:tc>
      </w:tr>
      <w:tr w:rsidR="003E36FB" w:rsidRPr="003E36FB" w:rsidTr="003E36FB">
        <w:trPr>
          <w:trHeight w:val="3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оценки результатов освоения Программы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Отличительные особенности Программы</w:t>
            </w:r>
          </w:p>
        </w:tc>
      </w:tr>
      <w:tr w:rsidR="003E36FB" w:rsidRPr="003E36FB" w:rsidTr="003E36FB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Направленность на развитие личности</w:t>
            </w:r>
          </w:p>
        </w:tc>
      </w:tr>
      <w:tr w:rsidR="003E36FB" w:rsidRPr="003E36FB" w:rsidTr="003E36FB"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Патриотическая направленность Программы</w:t>
            </w:r>
          </w:p>
        </w:tc>
      </w:tr>
      <w:tr w:rsidR="003E36FB" w:rsidRPr="003E36FB" w:rsidTr="003E36FB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Направленность на нравственное воспитание, поддержку традиционных ценностей.</w:t>
            </w:r>
          </w:p>
        </w:tc>
      </w:tr>
      <w:tr w:rsidR="003E36FB" w:rsidRPr="003E36FB" w:rsidTr="003E36FB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Направленность на дальнейшее образование</w:t>
            </w:r>
          </w:p>
        </w:tc>
      </w:tr>
      <w:tr w:rsidR="003E36FB" w:rsidRPr="003E36FB" w:rsidTr="003E36F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-Направленность на сохранение и укрепление здоровья детей</w:t>
            </w:r>
          </w:p>
        </w:tc>
      </w:tr>
      <w:tr w:rsidR="003E36FB" w:rsidRPr="003E36FB" w:rsidTr="003E36FB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Направленность на учет индивидуальных особенностей детей</w:t>
            </w:r>
          </w:p>
        </w:tc>
      </w:tr>
      <w:tr w:rsidR="003E36FB" w:rsidRPr="003E36FB" w:rsidTr="003E36FB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-Гибкость выбора программного содержания с учетом развития ребенка</w:t>
            </w:r>
          </w:p>
        </w:tc>
      </w:tr>
      <w:tr w:rsidR="003E36FB" w:rsidRPr="003E36FB" w:rsidTr="003E36FB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семьями воспитанников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Содержательный раздел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Формы, способы, методы и средства реализации программы по социально-коммуникативному развитию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Программно-методическое обеспечение образовательной области «Социально-коммуникативное развитие»</w:t>
            </w:r>
          </w:p>
        </w:tc>
      </w:tr>
      <w:tr w:rsidR="003E36FB" w:rsidRPr="003E36FB" w:rsidTr="003E36FB">
        <w:trPr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2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Формы, способы, методы и средства реализации программы по познавательному развитию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-Программно-методическое обеспечение реализации образовательной области «Познавательное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область «Речевое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Формы, способы, методы и средства реализации программы по речевому развитию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Программно-методическое обеспечение реализации образовательной области «Речевое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3E36FB" w:rsidRPr="003E36FB" w:rsidTr="003E36FB">
        <w:trPr>
          <w:trHeight w:val="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Формы, способы, методы и средства реализации программы по художественно-эстетическому развитию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Программно-методическое обеспечение реализации образовательной области «Художественно-эстетическое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область «Физическое развитие»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Формы, способы, методы и средства реализации программы по физическому развитию</w:t>
            </w:r>
          </w:p>
        </w:tc>
      </w:tr>
      <w:tr w:rsidR="003E36FB" w:rsidRPr="003E36FB" w:rsidTr="003E36FB">
        <w:trPr>
          <w:trHeight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 обеспечение реализации образовательной области «Физическое развитие»</w:t>
            </w:r>
          </w:p>
        </w:tc>
      </w:tr>
      <w:tr w:rsidR="003E36FB" w:rsidRPr="003E36FB" w:rsidTr="003E36FB">
        <w:trPr>
          <w:trHeight w:val="9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физкультурно-оздоровительной работы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компонент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СП ДГ  и МБОУ СОШ № 48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социумом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по развитию творческих способностей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</w:tr>
      <w:tr w:rsidR="003E36FB" w:rsidRPr="003E36FB" w:rsidTr="003E36FB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деятельность в СПДГ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 режима пребывания и жизнедеятельности воспитанников</w:t>
            </w:r>
          </w:p>
        </w:tc>
      </w:tr>
      <w:tr w:rsidR="003E36FB" w:rsidRPr="003E36FB" w:rsidTr="003E36FB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непосредственно-образовательной деятельности</w:t>
            </w:r>
          </w:p>
        </w:tc>
      </w:tr>
      <w:tr w:rsidR="003E36FB" w:rsidRPr="003E36FB" w:rsidTr="003E36FB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3E36FB" w:rsidRPr="003E36FB" w:rsidTr="003E36FB">
        <w:trPr>
          <w:trHeight w:val="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развивающей предметно-пространственной среде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Предметно-пространственная среда помещений и групповых комнат 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E0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едметно-пространственная среда 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для реализации программы</w:t>
            </w:r>
          </w:p>
        </w:tc>
      </w:tr>
      <w:tr w:rsidR="003E36FB" w:rsidRPr="003E36FB" w:rsidTr="003E36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программы</w:t>
            </w:r>
          </w:p>
        </w:tc>
      </w:tr>
    </w:tbl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 и задачи реализации Программы.</w:t>
      </w:r>
    </w:p>
    <w:p w:rsidR="00FE38D1" w:rsidRPr="00FE38D1" w:rsidRDefault="00B31144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FE38D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  <w:r w:rsidR="009F34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; развитие личности ребенка, сохранение и укрепление здоровья детей, воспитание таких качеств</w:t>
      </w:r>
      <w:proofErr w:type="gramStart"/>
      <w:r w:rsidR="009F34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9F34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</w:t>
      </w:r>
      <w:r w:rsidR="00FE38D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F34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патриотизм, активная жизненная позиция. творческий подход к решению различных жизненных ситуаций, уважение к традиционным ценностям </w:t>
      </w:r>
    </w:p>
    <w:p w:rsidR="00815419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419" w:rsidRP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</w:t>
      </w:r>
      <w:r w:rsid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разнообразных видов  детской деятельности: игровой, коммуникативной, трудовой, познавательн</w:t>
      </w:r>
      <w:proofErr w:type="gramStart"/>
      <w:r w:rsid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исследовательской, продуктивной (изобразительная, конструктивная и др.), музыкальной, чтения.</w:t>
      </w:r>
    </w:p>
    <w:p w:rsidR="00815419" w:rsidRDefault="00815419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имеют значения:</w:t>
      </w:r>
    </w:p>
    <w:p w:rsidR="00815419" w:rsidRDefault="00815419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забота о здоровье, эмоциональное благополучие и всестороннее развитие каждого ребенка;</w:t>
      </w:r>
    </w:p>
    <w:p w:rsidR="00815419" w:rsidRDefault="00815419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группах атмосферы гуманного и доброжелательного отношения ко всем воспитанникам;</w:t>
      </w:r>
    </w:p>
    <w:p w:rsidR="001C302E" w:rsidRDefault="00815419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использование разнообразных видов детской деятельности</w:t>
      </w:r>
      <w:r w:rsidR="001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интеграция с целью повышения эффективности </w:t>
      </w:r>
      <w:proofErr w:type="spellStart"/>
      <w:r w:rsidR="001C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процесса;</w:t>
      </w:r>
    </w:p>
    <w:p w:rsidR="001C302E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организация</w:t>
      </w:r>
      <w:r w:rsid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19" w:rsidRPr="0081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процесса;</w:t>
      </w:r>
    </w:p>
    <w:p w:rsidR="003E36FB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вариативность использования образовательного материала;</w:t>
      </w:r>
    </w:p>
    <w:p w:rsidR="001C302E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отношение к результатам детского творчества;</w:t>
      </w:r>
    </w:p>
    <w:p w:rsidR="001C302E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подходов к воспитанию детей в СПДГ и семьи;</w:t>
      </w:r>
    </w:p>
    <w:p w:rsidR="00815419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в работе преемственности СПДГ и начальной школы. </w:t>
      </w:r>
    </w:p>
    <w:p w:rsidR="00A10E82" w:rsidRDefault="00A10E82" w:rsidP="00D033D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Принципы и подходы к формированию Программы</w:t>
      </w:r>
    </w:p>
    <w:p w:rsidR="004A2E37" w:rsidRDefault="001C302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построена на позиции гуманно-личностного отношения к ребенку и направлена на всестороннее развитие, формирование духовных и общечеловеческих ценностей, способностей и интегрированных качеств. Особая роль в программе уделяется игровой деятельности как ведущей в дошкольном возрасте.</w:t>
      </w:r>
    </w:p>
    <w:p w:rsidR="004A2E37" w:rsidRDefault="004A2E37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</w:t>
      </w:r>
    </w:p>
    <w:p w:rsidR="004A2E37" w:rsidRDefault="004A2E37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соответствует принципу развивающего образования, целью которого является развитие ребенка;</w:t>
      </w:r>
    </w:p>
    <w:p w:rsidR="004A2E37" w:rsidRDefault="004A2E37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принципу научной обоснованности и практической применимости;</w:t>
      </w:r>
    </w:p>
    <w:p w:rsidR="007243BE" w:rsidRDefault="004A2E37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полноты, необходимости и достаточности</w:t>
      </w:r>
      <w:r w:rsidR="0072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6FB" w:rsidRDefault="007243B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(решаются цели и задачи при использовании разумного «минимума» материала);</w:t>
      </w:r>
    </w:p>
    <w:p w:rsidR="007243BE" w:rsidRDefault="007243B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детей;</w:t>
      </w:r>
    </w:p>
    <w:p w:rsidR="007243BE" w:rsidRDefault="007243B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основывается на комплексно – тематическом принципе построения образовательного процесса;</w:t>
      </w:r>
    </w:p>
    <w:p w:rsidR="007243BE" w:rsidRDefault="007243B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непосредственной образовательной деятельности, но и при проведении режимных моментов;</w:t>
      </w:r>
    </w:p>
    <w:p w:rsidR="007243BE" w:rsidRDefault="007243BE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допускает </w:t>
      </w:r>
      <w:r w:rsidR="00C3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</w:t>
      </w:r>
      <w:r w:rsidR="00B3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 (национально – региональный компонент);</w:t>
      </w:r>
    </w:p>
    <w:p w:rsidR="004A2E37" w:rsidRDefault="00B31144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строится с учетом соблюдения преемственности между дошкольными группами и начальной школой.</w:t>
      </w:r>
    </w:p>
    <w:p w:rsidR="009F3440" w:rsidRPr="009F3440" w:rsidRDefault="009F3440" w:rsidP="00D033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Программы.</w:t>
      </w:r>
    </w:p>
    <w:p w:rsidR="00B31144" w:rsidRPr="003E36FB" w:rsidRDefault="00C33631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свободного, уверенного в себе человека, с активной жизненной позицией, стремящегося творчески подходит к решению различных жизненных ситуаций, имеющего свое мнение и умеющего его отстаивать. Программа имеет патриотическую направленность, на нравственное воспитание, поддержку традиционных ценностей, направленность на дальнейшее образование, сохранение и укрепление здоровья детей, на учет индивидуальных особенностей ребенка, гибкость выбора программного материала с учетом уровня развития ребенка, взаимодействие с семьями воспитанников</w:t>
      </w:r>
      <w:r w:rsidR="00A1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программы</w:t>
      </w:r>
    </w:p>
    <w:p w:rsidR="003E36FB" w:rsidRPr="003E36FB" w:rsidRDefault="00C33631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представлены в виде целевых ориентиров дошкольного образования, которые представляют со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ориентиры:</w:t>
      </w:r>
      <w:r w:rsidR="00B3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непосредственной оценке; не являются непосредственным основанием оценки как итогового, так и промежуточного уровня развития детей; не являются основанием для их формального сравнения с реальными достижениями детей; не являются основой объективной оценки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детей; не являются непосредственным основанием при оценке качества образования.</w:t>
      </w: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Содержание основных (ключевых) характеристик развития личности ребенка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Целевые ориентиры образования в младенческом и раннем возрасте: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использует специфические, культурно фиксированные предметные дейст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просами и просьбами, понимает речь взрослых; знает названия окружающих предметов и игрушек; стремится к общению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ражает им;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ства; у ребенка развита крупная моторика, он стремится осваивать различные виды движения (бег, лазанье, перешагивание и пр.).</w:t>
      </w:r>
    </w:p>
    <w:p w:rsidR="003E36FB" w:rsidRPr="003E36FB" w:rsidRDefault="003E36FB" w:rsidP="00D033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Целевые ориентиры на этапе завершения дошкольного образования: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сти; 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пособен договариваться, учитывать интересы и чувства дру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понимает, что все люди равны вне зависимости от их социального происхождения; этнической принадлежности, религиозных и других верований, их физиологических и  психических особенностей;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обладает развитым воображением, которое реализуется в разных видах деятельности, и прежде всего в игре; 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разными формами и видами игры, различает условную и реальную ситуации, умеет подчиняться раз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правилам и социальным нормам; </w:t>
      </w:r>
    </w:p>
    <w:p w:rsidR="004A3836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делять звуки в словах, у ребенка складываются предпосылки грамотности; </w:t>
      </w:r>
    </w:p>
    <w:p w:rsidR="00AC5AD2" w:rsidRDefault="004A3836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лив, владеет основными движениями, может контролировать свои движения и управлять ими; </w:t>
      </w:r>
    </w:p>
    <w:p w:rsidR="00AC5AD2" w:rsidRDefault="00AC5AD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 поведения и правилам в разных видах деятельности, во взаимоотношениях </w:t>
      </w:r>
      <w:proofErr w:type="gramStart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3E36FB" w:rsidRPr="003E36FB" w:rsidRDefault="00AC5AD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блюдать, экспериментировать. Обладает начальными знаниями о себе, о природ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</w:t>
      </w:r>
    </w:p>
    <w:p w:rsidR="00AC5AD2" w:rsidRDefault="00AC5AD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уважение к жизни и заботу об окружающей среде;</w:t>
      </w:r>
    </w:p>
    <w:p w:rsidR="00AC5AD2" w:rsidRDefault="00AC5AD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патриотические чувства, ощущает гордость за свою страну, ее достижения, имеет представление о ее географическом разнообразии; многонациональности, важнейших исторических событиях;</w:t>
      </w:r>
    </w:p>
    <w:p w:rsidR="00AC5AD2" w:rsidRDefault="00AC5AD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 первичные представления о себе, семье, традиционных семейных ценностях, включая традиционные гендерные ориентации;</w:t>
      </w:r>
    </w:p>
    <w:p w:rsidR="00AC5AD2" w:rsidRDefault="00EA05C5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представления « что такое хорошо и что такое плохо», стремится поступать хорошо;</w:t>
      </w:r>
    </w:p>
    <w:p w:rsidR="00AC5AD2" w:rsidRDefault="00EA05C5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AC5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начальные представления о здоровом образе жизни.</w:t>
      </w:r>
    </w:p>
    <w:p w:rsidR="0084480E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«Художественно-эстетическое развитие», «Физическое развитие»,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D033D3" w:rsidRPr="00D033D3" w:rsidRDefault="00D033D3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и оценка состояния воспитательной работы</w:t>
      </w:r>
    </w:p>
    <w:p w:rsidR="003E36FB" w:rsidRPr="003E36FB" w:rsidRDefault="003E36FB" w:rsidP="003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Анализ социально-образовательного статуса</w:t>
      </w: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№ 1. Состав семьи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5189"/>
        <w:gridCol w:w="3781"/>
      </w:tblGrid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саду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C54E4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EA05C5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  <w:proofErr w:type="gramEnd"/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C54E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A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11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EA05C5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  <w:proofErr w:type="gramEnd"/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EA05C5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A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№2 Характеристика количественного состава детей в семье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190"/>
        <w:gridCol w:w="3781"/>
      </w:tblGrid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саду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одного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BF7E90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двоих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BF7E90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троих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BF7E90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более троих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96038D" w:rsidP="00BF7E90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11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№3 Характеристика материального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199"/>
        <w:gridCol w:w="3772"/>
      </w:tblGrid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положение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саду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C54E4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26- 3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C54E4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неудовлетворительное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C54E4" w:rsidRDefault="00DC54E4" w:rsidP="00D0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№ 4 Возрастной состав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247"/>
        <w:gridCol w:w="3081"/>
        <w:gridCol w:w="3642"/>
      </w:tblGrid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BF7E90" w:rsidRDefault="00BF7E90" w:rsidP="00BF7E90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</w:t>
            </w:r>
          </w:p>
          <w:p w:rsidR="003E36FB" w:rsidRPr="003E36FB" w:rsidRDefault="00BF7E90" w:rsidP="00BF7E90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  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20 - 25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26-40л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62-91%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51- 86%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41-50л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7- 12%</w:t>
            </w:r>
          </w:p>
        </w:tc>
      </w:tr>
      <w:tr w:rsidR="003E36FB" w:rsidRPr="003E36FB" w:rsidTr="003E36FB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1- 2%</w:t>
            </w:r>
          </w:p>
        </w:tc>
      </w:tr>
    </w:tbl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№ 5 Уровень образования родителей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419"/>
        <w:gridCol w:w="2933"/>
        <w:gridCol w:w="3466"/>
      </w:tblGrid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%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%</w:t>
            </w:r>
          </w:p>
        </w:tc>
      </w:tr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36-5</w:t>
            </w:r>
            <w:r w:rsidR="00CB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34- </w:t>
            </w:r>
            <w:r w:rsidR="00CB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DC54E4" w:rsidP="00DC54E4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CB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C54E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</w:t>
            </w:r>
            <w:proofErr w:type="gramStart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ециа</w:t>
            </w:r>
            <w:proofErr w:type="spellEnd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DC5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</w:t>
            </w:r>
            <w:r w:rsidR="00CB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B79FC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среднее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1-1%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DC54E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12-18%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CB79FC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  <w:r w:rsidR="00CB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E36FB" w:rsidRPr="003E36FB" w:rsidRDefault="003E36FB" w:rsidP="003E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Характеристика воспитательной работы СПДГ ОУ </w:t>
      </w:r>
    </w:p>
    <w:p w:rsidR="003E36FB" w:rsidRPr="003E36FB" w:rsidRDefault="003E36FB" w:rsidP="00D033D3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  стр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уктурного  подразделения строится   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3E36FB" w:rsidRPr="003E36FB" w:rsidRDefault="003E36FB" w:rsidP="00D033D3">
      <w:pPr>
        <w:tabs>
          <w:tab w:val="left" w:pos="567"/>
        </w:tabs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проводилась по организации развивающей предметно-пространственной среды </w:t>
      </w:r>
      <w:r w:rsidR="0099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ДГ  в соответствии с ФГОС ДО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пополнился материал для сюжетно - ролевых игр ( столовая, строительный  конструктор,  мебель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Парикмахерская», мебель «Больница» в группе «Ирбисы»</w:t>
      </w:r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ширма – гр.  «</w:t>
      </w:r>
      <w:proofErr w:type="spellStart"/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Барсики</w:t>
      </w:r>
      <w:proofErr w:type="spellEnd"/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настольный театр в обеих группах</w:t>
      </w:r>
      <w:r w:rsidR="009941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вместе с тем  воспитателям  необходимо готовить больше презентаций по проектной деятельности, выставлять на сайт</w:t>
      </w:r>
      <w:r w:rsidR="0099419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 ДГ результаты своей работы, изготавливать дидактический материал.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проводилась большая работа по формированию здорового образа жизни у детей.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группах структурного подразделения  созданы условия, отвечающие медицинским и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 -  т. е соответствует  госуд</w:t>
      </w:r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рственным  санитарно – эпидемиологическим  правилам и нормам СанПиН </w:t>
      </w:r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2.1.7.3550-19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«Санитарно – эпидемиологическое заключение»   № 2835574  от 06.02.2018</w:t>
      </w:r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CB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РСО-Алания.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работу коллектив детского сада строит с учетом индивидуально ориентированного подхода к детям.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индивидуальные для каждого ребенка.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с педагогами участвовали в культурно-досуговых и спортивных мероприятиях в соответствие с планами мероприятий дошкольных групп МБОУ СОШ № 48.</w:t>
      </w:r>
    </w:p>
    <w:p w:rsidR="003E36FB" w:rsidRPr="003E36FB" w:rsidRDefault="008E0410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Воспитанники принимают участие в международных конкурсах Результат- Диплом 1 степени Международного творческого фестиваля-</w:t>
      </w:r>
      <w:r w:rsidRPr="008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номинации «Художественное слово» - у воспитанника группы «Ирбисы»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Астана;грамоты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участие в конкурсе, посвященном Дню рождения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Агка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и </w:t>
      </w:r>
      <w:proofErr w:type="spellStart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Макиевой</w:t>
      </w:r>
      <w:proofErr w:type="spellEnd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Амины-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«Ирбисы», регулярно выставляются мероприятия годового плана на сайте УО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ладикавказа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текущие  занятия как в непосредственной деятельности, в режимных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родительские группы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доводятся для всех родителей.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Отношения с социальными учреждениями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поддерживает прочные 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отношения с социальными учреждениями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 № 7, СОРИПКРО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ГБУ ДСШОР художественная гимнастика ; 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 микрорайона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группы   сотрудничают  с МБОУ СОШ № 48.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отслеживалась адаптация выпускников детского сада; проводилась диагностика готовности детей к школе; экскурсии различной направленности. СП ДГ  сотрудничает с детской поликлиникой. Такое взаимодействие помогает выявить и предупредить различные заболевания, оказать своевременную помощь детям. 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осуществления образовательной деятельности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центральное отопление, вода, канализация, сантехническое оборудование в удовлетворительном состоянии. Во всех групповых комнатах спальные комнаты отделены друг от друга.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имеются: групповые помещения, методкабинет руководителя, физкуль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турный и музыкальный зал общий,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прачечная.                       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оборудованием. Предметная среда всех помещений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должного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продолжить  работу по наполнению развивающей среды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было соответствие  «необходимого и достаточного» для каждого вида деятельности. В дошкольных группах имеются  2 ноутбука, пианино, интерактивная доска, проектор.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3E36FB" w:rsidRPr="003E36FB" w:rsidRDefault="00282A2E" w:rsidP="00D033D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правилами пожарной безопасности, действиям в чрезвычайных ситуациях.</w:t>
      </w:r>
    </w:p>
    <w:p w:rsidR="003E36FB" w:rsidRPr="003E36FB" w:rsidRDefault="00282A2E" w:rsidP="00D033D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3E36FB" w:rsidRPr="003E36FB" w:rsidRDefault="00282A2E" w:rsidP="00D033D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Воспитатели  СП</w:t>
      </w:r>
      <w:r w:rsidR="003E36FB" w:rsidRPr="003E36F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ДГ  проводит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осмотр детей во время утреннего приема;</w:t>
      </w:r>
      <w:r w:rsidR="00C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заболеваемости 1 раз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квартал, 1 раз в год</w:t>
      </w:r>
      <w:r w:rsidRP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руководитель СПДГ;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ежемесячное подведение </w:t>
      </w:r>
      <w:r w:rsidR="009941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посещаемости детей.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Анализ мнения участников образовательных отношений о деятельности СП ДГ МБОУ СОШ № 48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организации взаимодействия с семьей воспитанника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формы работы с родителями: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собраний, консультаций; педагогические беседы (индивидуальные и групповые)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мероприятия, труд; выставки детских работ; папки-передвижки, информационные стенды; анкетирование; круглые столы с привлечением специалистов детского сада (воспитателя  осетинского языка, медсестры, инструктора по физической культуре, музыкального руководителя) презентация (знакомство с детским садом).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полюбившихся родителями форм работы стали конкурсы поделок. В этом году были  организованы конкурсы совмес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поделок детей и родителей: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«Осенний калейдоскоп», «Мастерская деда Мороза», «Букет для мамы»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выставка военной техники,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родителей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предыдущие годы.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были организованы групповые собрания   на темы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 ребенка в детском саду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дело серьезное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2A2E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D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ребенка – это актуально. Папа, мама, я – безопасна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семья»</w:t>
      </w:r>
      <w:proofErr w:type="gramStart"/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де</w:t>
      </w:r>
      <w:r w:rsidR="00C82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наших руках.</w:t>
      </w:r>
      <w:r w:rsidR="00282A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Подготовка ребенка к школе.» Круглый стол – встреча с учителями начальных классов.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 общие  родительские собрания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онлайн)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 Создание единого пространства для обеспечения всестороннего развития ребенка в условиях СП ДГ и семьи в рамках ФГОС»,  где рассматривались вопросы 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процесса;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работы. Нормативные документы, регламентирующие работу ОУ.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Улица полна неожиданностей. Памятка для родителей.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2.« Развитие любознательности у детей дошкольного возраста. Дорога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Безопасность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3.  « Солнце, воздух и вода – наши лучшие друзья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 за 20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летнего оздоровительного периода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одевать ребенка летом.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Закаливание. Питание детей летом.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3.5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Анализ и оценка качества подготовки воспитанников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Мониторинг образовательного процесса (образовательные области программы)</w:t>
      </w:r>
    </w:p>
    <w:tbl>
      <w:tblPr>
        <w:tblW w:w="0" w:type="auto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126"/>
        <w:gridCol w:w="1559"/>
        <w:gridCol w:w="1985"/>
      </w:tblGrid>
      <w:tr w:rsidR="003E36FB" w:rsidRPr="003E36FB" w:rsidTr="004471F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F7E90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 %</w:t>
            </w:r>
          </w:p>
        </w:tc>
      </w:tr>
      <w:tr w:rsidR="003E36FB" w:rsidRPr="003E36FB" w:rsidTr="004471FF">
        <w:trPr>
          <w:trHeight w:val="8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E36FB" w:rsidRPr="003E36FB" w:rsidTr="004471F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4471F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E36FB" w:rsidRPr="003E36FB" w:rsidTr="004471F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4471F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E36FB" w:rsidRPr="003E36FB" w:rsidTr="004471F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4471F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E36FB" w:rsidRPr="003E36FB" w:rsidTr="004471F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4471F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порядок:</w:t>
      </w:r>
    </w:p>
    <w:p w:rsidR="003E36FB" w:rsidRPr="003E36FB" w:rsidRDefault="003E36FB" w:rsidP="00D033D3">
      <w:pPr>
        <w:widowControl w:val="0"/>
        <w:suppressAutoHyphens/>
        <w:spacing w:after="0"/>
        <w:ind w:left="-142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высокие результаты у воспитанников по таким образовательным направлениям, как «Физическое развитие» (27%),«Художественно – эстетическое развитие» (26%).</w:t>
      </w:r>
      <w:r w:rsidRPr="003E36F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Диагностика показала, что воспитателям следует уделять больше внимания формированию словаря детей</w:t>
      </w:r>
      <w:r w:rsidR="00CC050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, развивать связную речь,</w:t>
      </w:r>
      <w:r w:rsidRPr="003E36F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CC050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у</w:t>
      </w:r>
      <w:r w:rsidRPr="003E36F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чить правильному </w:t>
      </w:r>
      <w:r w:rsidR="00CC050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согласованию слов в предложении,</w:t>
      </w:r>
      <w:r w:rsidRPr="003E36F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CC050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необходимо </w:t>
      </w:r>
      <w:r w:rsidRPr="003E36F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продумать и организовать конкурс юных чтецов на осетинском языке, принять участие в городском  конкурсе осетинской сказки.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Показатели адаптации вновь прибывших детей (20</w:t>
      </w:r>
      <w:r w:rsidR="00447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447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год)</w:t>
      </w:r>
    </w:p>
    <w:tbl>
      <w:tblPr>
        <w:tblW w:w="0" w:type="auto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1944"/>
        <w:gridCol w:w="1843"/>
        <w:gridCol w:w="1842"/>
        <w:gridCol w:w="1985"/>
      </w:tblGrid>
      <w:tr w:rsidR="003E36FB" w:rsidRPr="003E36FB" w:rsidTr="00FC0CBD"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 </w:t>
            </w:r>
            <w:r w:rsidR="00BF7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4471FF" w:rsidRPr="003E36FB" w:rsidTr="00FC0CBD"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F" w:rsidRPr="003E36FB" w:rsidRDefault="004471FF" w:rsidP="00D03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4471FF" w:rsidP="00D03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</w:tr>
      <w:tr w:rsidR="004471FF" w:rsidRPr="003E36FB" w:rsidTr="00FC0CBD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F80AF4" w:rsidP="00D03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89.3</w:t>
            </w:r>
          </w:p>
        </w:tc>
      </w:tr>
      <w:tr w:rsidR="004471FF" w:rsidRPr="003E36FB" w:rsidTr="00FC0CBD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F80AF4" w:rsidP="00D03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</w:tr>
      <w:tr w:rsidR="004471FF" w:rsidRPr="003E36FB" w:rsidTr="00FC0CBD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F80AF4" w:rsidP="00D03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4471FF" w:rsidRPr="003E36FB" w:rsidTr="00FC0CBD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471FF" w:rsidRPr="003E36FB" w:rsidRDefault="004471FF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4471FF" w:rsidRPr="003E36FB" w:rsidRDefault="00F80AF4" w:rsidP="00D033D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F80AF4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F" w:rsidRPr="003E36FB" w:rsidRDefault="00F80AF4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C0CBD" w:rsidRDefault="00FC0CBD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D" w:rsidRPr="00FC6681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СП ДГ  поступило  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25 (</w:t>
      </w:r>
      <w:r w:rsidR="00F80AF4">
        <w:rPr>
          <w:rFonts w:ascii="Times New Roman" w:eastAsia="Times New Roman" w:hAnsi="Times New Roman" w:cs="Times New Roman"/>
          <w:sz w:val="28"/>
          <w:szCs w:val="28"/>
          <w:lang w:eastAsia="ru-RU"/>
        </w:rPr>
        <w:t>89.3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легко адаптировались к условиям детского сада, </w:t>
      </w:r>
      <w:r w:rsidR="00F80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AF4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перенесли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среднюю степень адаптации, </w:t>
      </w:r>
      <w:r w:rsidR="00BF7E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AF4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% )</w:t>
      </w:r>
      <w:r w:rsidR="00BF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прибывших детей адаптация прошла тяжело.  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строится в игровой форме, что повышает мотивационную готовность детей, активизирует их.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диагностики: определить уровень готовности детей к школе.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были получены следующие результаты: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«Высокий уровень развития готовности к школьному обучению» готовность к школе - </w:t>
      </w:r>
      <w:r w:rsidR="00BE1A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«Средний уровень развития готовности к школьному обучению»- 4 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C04" w:rsidRPr="00FC6681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«Низкий уровень развития готовности к школьному обучению -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FC0CBD" w:rsidRDefault="00FC0CBD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уровня готовности детей к школе за 20</w:t>
      </w:r>
      <w:r w:rsidR="00FC0C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FC0C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tbl>
      <w:tblPr>
        <w:tblW w:w="10491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110"/>
        <w:gridCol w:w="1560"/>
      </w:tblGrid>
      <w:tr w:rsidR="003E36FB" w:rsidRPr="003E36FB" w:rsidTr="00812B5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 группы «</w:t>
            </w:r>
            <w:proofErr w:type="spellStart"/>
            <w:r w:rsidR="00F8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Барсики</w:t>
            </w:r>
            <w:proofErr w:type="spell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 – 3</w:t>
            </w:r>
            <w:r w:rsidR="00CC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3E36FB" w:rsidRPr="003E36FB" w:rsidTr="00812B5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 (выпускников)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E1AD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</w:tr>
      <w:tr w:rsidR="003E36FB" w:rsidRPr="003E36FB" w:rsidTr="00812B5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812B5F" w:rsidRDefault="00812B5F" w:rsidP="00D033D3">
            <w:pPr>
              <w:spacing w:after="0"/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 xml:space="preserve">«Высокий уровень развития готовности </w:t>
            </w:r>
          </w:p>
          <w:p w:rsidR="003E36FB" w:rsidRPr="00812B5F" w:rsidRDefault="00812B5F" w:rsidP="00D033D3">
            <w:pPr>
              <w:spacing w:after="0"/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>к школьному обучению»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E1AD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E1AD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812B5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812B5F" w:rsidRDefault="00812B5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>«Средний уровень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готовности </w:t>
            </w:r>
          </w:p>
          <w:p w:rsidR="003E36FB" w:rsidRPr="00812B5F" w:rsidRDefault="00812B5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школьному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обучению»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E1AD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36FB" w:rsidRPr="003E36FB" w:rsidTr="00812B5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812B5F" w:rsidRDefault="00812B5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 xml:space="preserve">«Низкий уровень развития готовности </w:t>
            </w:r>
          </w:p>
          <w:p w:rsidR="003E36FB" w:rsidRPr="00812B5F" w:rsidRDefault="00812B5F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36FB" w:rsidRPr="00812B5F">
              <w:rPr>
                <w:rFonts w:ascii="Times New Roman" w:eastAsia="Times New Roman" w:hAnsi="Times New Roman" w:cs="Times New Roman"/>
                <w:lang w:eastAsia="ru-RU"/>
              </w:rPr>
              <w:t>к школьному обучению»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BE1AD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Оценка качества кадрового обеспечения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сотрудников - 10 человек. Обслуживающим персоналом детский сад обеспечен полностью. Педагогический процесс    СП ДГ МБОУ СОШ № 48 обеспечивают  7 педагогов: руководитель СП ДГ; 5 воспитателей , 1 музыкальный  руководитель 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педагогов, имеющих высшее образование, составило 7человек. 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Динамика уровня специальной образованности  педагогов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7" w:type="dxa"/>
        <w:tblInd w:w="-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631"/>
        <w:gridCol w:w="1701"/>
        <w:gridCol w:w="2472"/>
      </w:tblGrid>
      <w:tr w:rsidR="003E36FB" w:rsidRPr="003E36FB" w:rsidTr="007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724D86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высшее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72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</w:tr>
      <w:tr w:rsidR="00724D86" w:rsidRPr="003E36FB" w:rsidTr="007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Pr="0072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4D86" w:rsidRPr="003E36FB" w:rsidTr="007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4D86" w:rsidRPr="003E36FB" w:rsidTr="007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7–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4D86" w:rsidRPr="003E36FB" w:rsidTr="00724D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1- 14%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724D86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24D86" w:rsidRDefault="00724D86" w:rsidP="00D033D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3E36FB" w:rsidRPr="003E36FB" w:rsidRDefault="003E36FB" w:rsidP="00D033D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3E36F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Расстановка кадров по группам</w:t>
      </w:r>
      <w:r w:rsidR="00D033D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3E36F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/согласно штатному расписанию/</w:t>
      </w:r>
    </w:p>
    <w:p w:rsidR="003E36FB" w:rsidRPr="003E36FB" w:rsidRDefault="003E36FB" w:rsidP="00D033D3">
      <w:pPr>
        <w:widowControl w:val="0"/>
        <w:suppressAutoHyphens/>
        <w:spacing w:after="0"/>
        <w:ind w:left="-709"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3149"/>
        <w:gridCol w:w="2114"/>
        <w:gridCol w:w="915"/>
        <w:gridCol w:w="2886"/>
      </w:tblGrid>
      <w:tr w:rsidR="003E36FB" w:rsidRPr="003E36FB" w:rsidTr="00BE1ADB">
        <w:trPr>
          <w:trHeight w:val="53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№</w:t>
            </w:r>
          </w:p>
          <w:p w:rsidR="003E36FB" w:rsidRPr="003E36FB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ГРУППЫ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ВОСПИТАТЕЛИ</w:t>
            </w:r>
          </w:p>
          <w:p w:rsidR="003E36FB" w:rsidRPr="003E36FB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/Ф.И.О./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СТАЖ</w:t>
            </w:r>
          </w:p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Общ/</w:t>
            </w:r>
            <w:proofErr w:type="spellStart"/>
            <w:r w:rsidRPr="003E36FB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</w:rPr>
              <w:t>пед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</w:tr>
      <w:tr w:rsidR="003E36FB" w:rsidRPr="003E36FB" w:rsidTr="00BE1ADB">
        <w:trPr>
          <w:trHeight w:val="54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Средняя </w:t>
            </w:r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группа</w:t>
            </w:r>
          </w:p>
          <w:p w:rsidR="003E36FB" w:rsidRPr="003E36FB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«Ирбисы»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Танклаева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Л.Т.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 w:rsidRPr="003E36FB">
              <w:rPr>
                <w:rFonts w:ascii="Times New Roman" w:eastAsia="Calibri" w:hAnsi="Times New Roman" w:cs="Times New Roman"/>
              </w:rPr>
              <w:t>1</w:t>
            </w:r>
            <w:r w:rsidR="008F347D">
              <w:rPr>
                <w:rFonts w:ascii="Times New Roman" w:eastAsia="Calibri" w:hAnsi="Times New Roman" w:cs="Times New Roman"/>
              </w:rPr>
              <w:t>1</w:t>
            </w:r>
            <w:r w:rsidRPr="003E36FB">
              <w:rPr>
                <w:rFonts w:ascii="Times New Roman" w:eastAsia="Calibri" w:hAnsi="Times New Roman" w:cs="Times New Roman"/>
              </w:rPr>
              <w:t>л7м/</w:t>
            </w:r>
          </w:p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3E36FB" w:rsidRPr="003E36FB">
              <w:rPr>
                <w:rFonts w:ascii="Times New Roman" w:eastAsia="Calibri" w:hAnsi="Times New Roman" w:cs="Times New Roman"/>
              </w:rPr>
              <w:t>л10м.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Высшее </w:t>
            </w:r>
          </w:p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E36FB" w:rsidRPr="003E36FB" w:rsidTr="00BE1ADB">
        <w:trPr>
          <w:trHeight w:val="53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Средняя </w:t>
            </w:r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группа</w:t>
            </w:r>
          </w:p>
          <w:p w:rsidR="003E36FB" w:rsidRPr="003E36FB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«Ирбисы»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36FB">
              <w:rPr>
                <w:rFonts w:ascii="Times New Roman" w:eastAsia="Calibri" w:hAnsi="Times New Roman" w:cs="Times New Roman"/>
                <w:sz w:val="28"/>
                <w:szCs w:val="28"/>
              </w:rPr>
              <w:t>Салбиева</w:t>
            </w:r>
            <w:proofErr w:type="spellEnd"/>
            <w:r w:rsidRPr="003E3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л5м.</w:t>
            </w:r>
          </w:p>
          <w:p w:rsidR="003E36FB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Высшее </w:t>
            </w:r>
          </w:p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E36FB" w:rsidRPr="003E36FB" w:rsidTr="00BE1ADB">
        <w:trPr>
          <w:trHeight w:val="54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7D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Разновозрастная  группа</w:t>
            </w:r>
          </w:p>
          <w:p w:rsidR="003E36FB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Барсики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36FB">
              <w:rPr>
                <w:rFonts w:ascii="Times New Roman" w:eastAsia="Calibri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3E3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3E36FB" w:rsidRPr="003E36FB">
              <w:rPr>
                <w:rFonts w:ascii="Times New Roman" w:eastAsia="Calibri" w:hAnsi="Times New Roman" w:cs="Times New Roman"/>
              </w:rPr>
              <w:t>г3</w:t>
            </w:r>
          </w:p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3E36FB" w:rsidRPr="003E36FB">
              <w:rPr>
                <w:rFonts w:ascii="Times New Roman" w:eastAsia="Calibri" w:hAnsi="Times New Roman" w:cs="Times New Roman"/>
              </w:rPr>
              <w:t>г3мес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Высшее</w:t>
            </w:r>
          </w:p>
        </w:tc>
      </w:tr>
      <w:tr w:rsidR="003E36FB" w:rsidRPr="003E36FB" w:rsidTr="00BE1ADB">
        <w:trPr>
          <w:trHeight w:val="53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47D" w:rsidRPr="003E36FB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Разновозрастная  группа</w:t>
            </w:r>
          </w:p>
          <w:p w:rsidR="003E36FB" w:rsidRPr="003E36FB" w:rsidRDefault="008F347D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Барсики</w:t>
            </w:r>
            <w:proofErr w:type="spellEnd"/>
            <w:r w:rsidR="003E36FB" w:rsidRPr="003E36F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Бичилова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 w:rsidRPr="003E36FB">
              <w:rPr>
                <w:rFonts w:ascii="Times New Roman" w:eastAsia="Calibri" w:hAnsi="Times New Roman" w:cs="Times New Roman"/>
              </w:rPr>
              <w:t>9мес</w:t>
            </w:r>
          </w:p>
          <w:p w:rsidR="003E36FB" w:rsidRPr="003E36FB" w:rsidRDefault="00724D86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9мес.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3E36FB" w:rsidRDefault="00724D86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 законченное высшее</w:t>
            </w:r>
          </w:p>
        </w:tc>
      </w:tr>
    </w:tbl>
    <w:p w:rsidR="003E36FB" w:rsidRPr="003E36FB" w:rsidRDefault="003E36FB" w:rsidP="00D033D3">
      <w:pPr>
        <w:widowControl w:val="0"/>
        <w:suppressAutoHyphens/>
        <w:spacing w:after="0"/>
        <w:ind w:left="-709" w:firstLine="709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3E36F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90"/>
        <w:tblW w:w="9928" w:type="dxa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2125"/>
        <w:gridCol w:w="993"/>
        <w:gridCol w:w="3057"/>
      </w:tblGrid>
      <w:tr w:rsidR="003E36FB" w:rsidRPr="003E36FB" w:rsidTr="00D033D3">
        <w:trPr>
          <w:trHeight w:val="8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№</w:t>
            </w:r>
          </w:p>
          <w:p w:rsidR="003E36FB" w:rsidRPr="00D033D3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ГРУППЫ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ПОМОШНИКИ</w:t>
            </w:r>
          </w:p>
          <w:p w:rsidR="003E36FB" w:rsidRPr="00D033D3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ВОСПИТАТЕЛЕЙ</w:t>
            </w:r>
          </w:p>
          <w:p w:rsidR="003E36FB" w:rsidRPr="00D033D3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/Ф.И.О./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СТАЖ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ОБРАЗОВАНИЕ</w:t>
            </w:r>
          </w:p>
        </w:tc>
      </w:tr>
      <w:tr w:rsidR="003E36FB" w:rsidRPr="003E36FB" w:rsidTr="00D033D3">
        <w:trPr>
          <w:trHeight w:val="5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Разновозрастная  группа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3D3">
              <w:rPr>
                <w:rFonts w:ascii="Times New Roman" w:eastAsia="Calibri" w:hAnsi="Times New Roman" w:cs="Times New Roman"/>
                <w:sz w:val="28"/>
                <w:szCs w:val="28"/>
              </w:rPr>
              <w:t>Малиева</w:t>
            </w:r>
            <w:proofErr w:type="spellEnd"/>
            <w:r w:rsidRPr="00D03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</w:t>
            </w:r>
            <w:r w:rsidR="003E36FB"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год</w:t>
            </w: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D033D3" w:rsidRDefault="008F347D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Calibri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3E36FB" w:rsidRPr="003E36FB" w:rsidTr="00D033D3">
        <w:trPr>
          <w:trHeight w:val="5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Младшая  группа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D3">
              <w:rPr>
                <w:rFonts w:ascii="Times New Roman" w:eastAsia="Calibri" w:hAnsi="Times New Roman" w:cs="Times New Roman"/>
                <w:sz w:val="28"/>
                <w:szCs w:val="28"/>
              </w:rPr>
              <w:t>Абрамян А.Р.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6FB" w:rsidRPr="00D033D3" w:rsidRDefault="003E36FB" w:rsidP="00D033D3">
            <w:pPr>
              <w:widowControl w:val="0"/>
              <w:suppressAutoHyphens/>
              <w:snapToGrid w:val="0"/>
              <w:spacing w:after="0"/>
              <w:ind w:left="-709" w:firstLine="709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</w:t>
            </w:r>
            <w:r w:rsidR="008F347D" w:rsidRPr="00D033D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8 лет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6FB" w:rsidRPr="00D033D3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3D3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</w:tr>
    </w:tbl>
    <w:p w:rsidR="00D033D3" w:rsidRDefault="00D033D3" w:rsidP="00D033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Распределение педагогов по стажу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18"/>
        <w:gridCol w:w="1559"/>
        <w:gridCol w:w="1418"/>
        <w:gridCol w:w="1701"/>
        <w:gridCol w:w="1842"/>
      </w:tblGrid>
      <w:tr w:rsidR="003E36FB" w:rsidRPr="003E36FB" w:rsidTr="008F347D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%)</w:t>
            </w:r>
            <w:proofErr w:type="gramEnd"/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(37.5%)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2(25%)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1(12.5%)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1(14.28%)</w:t>
            </w: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1(12.5%)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2(25%)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4(50%)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4(57.15%)</w:t>
            </w: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до 20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1(12.5%)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3(37.5%)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1(12.5%)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3(37.5%)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3(37.5%)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2(25%)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2(28.57%)</w:t>
            </w:r>
          </w:p>
        </w:tc>
      </w:tr>
    </w:tbl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Динамика уровня педагогической квалификации педагогов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18"/>
        <w:gridCol w:w="1559"/>
        <w:gridCol w:w="1418"/>
        <w:gridCol w:w="1701"/>
        <w:gridCol w:w="1842"/>
      </w:tblGrid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Количествоо</w:t>
            </w:r>
            <w:proofErr w:type="spellEnd"/>
          </w:p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     занимаемой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</w:t>
            </w:r>
            <w:r w:rsidR="00CE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E2DAA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E2DAA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6FB" w:rsidRPr="003E36FB" w:rsidTr="003E36FB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1 -14.28%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2- 28.5</w:t>
            </w:r>
            <w:r w:rsidR="00CE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42.86%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1-14.28% </w:t>
            </w:r>
          </w:p>
          <w:p w:rsidR="003E36FB" w:rsidRPr="003E36FB" w:rsidRDefault="003E36FB" w:rsidP="00D033D3">
            <w:pPr>
              <w:spacing w:after="0"/>
              <w:ind w:left="-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</w:t>
            </w:r>
            <w:proofErr w:type="spellStart"/>
            <w:r w:rsidR="008F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</w:t>
            </w:r>
            <w:proofErr w:type="gramStart"/>
            <w:r w:rsidR="008F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екр.отпуска</w:t>
            </w:r>
            <w:proofErr w:type="spellEnd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E36FB" w:rsidRPr="003E36FB" w:rsidTr="003E36FB">
        <w:trPr>
          <w:trHeight w:val="8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8F3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1 -14.28%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8F347D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E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E2DAA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57.5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1-12.5% </w:t>
            </w:r>
          </w:p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</w:tr>
    </w:tbl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Механизмом отслеживания уровня профессионально-педагогической квалификации служит аттестация</w:t>
      </w:r>
      <w:r w:rsidRPr="003E36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 педагога прошли аттестацию на соответствие занимаемой должности в 2019-2020уч.г.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36F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Повышение квалификации педагогов и руководящих работников</w:t>
      </w:r>
      <w:r w:rsidRPr="003E36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 в соответствии с план - графиком повышения квалификации. В течение 2019-2020 учебного года 2 педагога прошли курсы повышения квалификации по теме курсов: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«Профессиональное развитие педагога ДОО: эффективные </w:t>
      </w:r>
      <w:r w:rsidR="000E6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практики и современные подходы»- </w:t>
      </w:r>
      <w:proofErr w:type="spellStart"/>
      <w:r w:rsidR="000E6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Салбиева</w:t>
      </w:r>
      <w:proofErr w:type="spellEnd"/>
      <w:r w:rsidR="000E6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В.Ф.;</w:t>
      </w:r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руководитель </w:t>
      </w:r>
      <w:proofErr w:type="spellStart"/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Дзодзаева</w:t>
      </w:r>
      <w:proofErr w:type="spellEnd"/>
      <w:r w:rsidRPr="003E36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Т.М. – «Содержание и технологии проектного менеджмента как механизм стратегического развития дошкольной образовательной организации».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2020-2021 учебном году предстоит  пройти курсы повышения квалификации </w:t>
      </w:r>
      <w:r w:rsidR="00CE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</w:t>
      </w:r>
      <w:proofErr w:type="spellStart"/>
      <w:r w:rsidR="00CE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Базаевой</w:t>
      </w:r>
      <w:proofErr w:type="spellEnd"/>
      <w:r w:rsidR="00CE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Оценка качества учебно-методического обеспечения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3E36FB" w:rsidRPr="003E36FB" w:rsidRDefault="00A56B0D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педсоветы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Приоритетные задачи педагогической деятельности СПДГ на новый учебный год»;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рассматриваются вопросы: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в летний оздоровительный период;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новому учебному году;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годового плана, расписания НОД, режима дня, образовательных программ воспитателей, график работы педагогов.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результатов мониторинга усвоения детьми образовательной программы.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основных направлений работы на следующий учебный год.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и утверждение плана работы СПДГ на летний оздоровительный период.</w:t>
      </w:r>
    </w:p>
    <w:p w:rsidR="003E36FB" w:rsidRPr="003E36FB" w:rsidRDefault="00A56B0D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были познакомлены с нормативными документами: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просвещения РФ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27 октября 2020 года № 32 «Об утверждении санитарно – эпидемиологических правил и норм СанПиН 2.3/2.4.3590-20 « Санитарно </w:t>
      </w:r>
      <w:r w:rsidR="003B40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</w:t>
      </w:r>
      <w:r w:rsidR="003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требования к организации общественного питания населения»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Педагогический коллектив работал над задачами:</w:t>
      </w:r>
    </w:p>
    <w:p w:rsid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формировать у детей необходимые знания, умения и навыки по здоровому образу жизни.</w:t>
      </w:r>
    </w:p>
    <w:p w:rsidR="000446F8" w:rsidRPr="003E36FB" w:rsidRDefault="000446F8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духовно – нравственную личность ребенка на традициях осетинского народного творчества.</w:t>
      </w:r>
    </w:p>
    <w:p w:rsidR="00585B15" w:rsidRPr="003E36FB" w:rsidRDefault="00585B15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педсоветах  рассматривались вопросы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здорового образа жизни, анализ анкет родителей «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эффективность работы по развитию двигательной активности в режиме  ребенка»</w:t>
      </w:r>
    </w:p>
    <w:p w:rsidR="003E36FB" w:rsidRPr="003E36FB" w:rsidRDefault="003E36FB" w:rsidP="00D033D3">
      <w:pPr>
        <w:widowControl w:val="0"/>
        <w:suppressAutoHyphens/>
        <w:spacing w:after="0"/>
        <w:ind w:left="-142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 вышеперечисленных мероприятиях рассматривались вопросы сохранения и укрепления здоровья дошкольника через следующие формы работы: систематически проводились: утренняя гимнастика, как средство тренировки и закаливания организма, ритмическая гимнастика, подвижные игры на прогулке, физкультминутки на занятиях, игровой массаж, познавательные занятия по ознакомлению дошкольников с собственным организмом и ведение</w:t>
      </w:r>
      <w:r w:rsidR="000E6C4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м здорового образа жизни.   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Прием детей осуществлялся с измерением температуры у входа в помещение СПДГ,</w:t>
      </w:r>
      <w:r w:rsidR="000446F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 регистрацией результата;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родители </w:t>
      </w:r>
      <w:proofErr w:type="gramStart"/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( </w:t>
      </w:r>
      <w:proofErr w:type="gramEnd"/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законные представители) своевременно </w:t>
      </w:r>
      <w:r w:rsidR="000446F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получали информацию  об ухудшении со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стояния ребенка.</w:t>
      </w:r>
      <w:r w:rsidRPr="003E36FB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3E36FB" w:rsidRPr="003E36FB" w:rsidRDefault="003E36FB" w:rsidP="00D033D3">
      <w:pPr>
        <w:widowControl w:val="0"/>
        <w:suppressAutoHyphens/>
        <w:spacing w:after="0"/>
        <w:ind w:left="-142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Однако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,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–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прежнему</w:t>
      </w:r>
      <w:r w:rsidR="00585B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,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актуальным остается вопрос </w:t>
      </w:r>
      <w:r w:rsidR="000E6C4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обеспечения кадрами: нет медсестры </w:t>
      </w:r>
      <w:proofErr w:type="gramStart"/>
      <w:r w:rsidR="000E6C4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( </w:t>
      </w:r>
      <w:proofErr w:type="gramEnd"/>
      <w:r w:rsidR="000E6C4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работает совместитель);</w:t>
      </w:r>
      <w:r w:rsidR="00C82DF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нет педагога – психолога; инструктора по физическому развитию; при проведении закаливания  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отсутствует  </w:t>
      </w:r>
      <w:proofErr w:type="spellStart"/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босохождение</w:t>
      </w:r>
      <w:proofErr w:type="spellEnd"/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по массажным коврикам, хождение по мокрым дорожкам,</w:t>
      </w:r>
      <w:r w:rsidR="00C82DF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необходимо 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чаще осуществлять  при</w:t>
      </w:r>
      <w:r w:rsidR="000E6C4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ем детей на улице.</w:t>
      </w:r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Также мала материальная база для занятий физкультурой, необходимо приобрести спортивный инвентарь</w:t>
      </w:r>
      <w:proofErr w:type="gramStart"/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:</w:t>
      </w:r>
      <w:proofErr w:type="gramEnd"/>
      <w:r w:rsidRPr="003E36F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канаты, стенки, конусы, скамейки и многое другое.</w:t>
      </w:r>
    </w:p>
    <w:p w:rsidR="003E36FB" w:rsidRPr="003E36FB" w:rsidRDefault="000446F8" w:rsidP="00D033D3">
      <w:pPr>
        <w:spacing w:after="0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2020 – 2021 году решал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0446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сь задача по нравственному воспитанию детей</w:t>
      </w:r>
      <w:r w:rsidR="000E6C4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proofErr w:type="spellStart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Агкаев</w:t>
      </w:r>
      <w:proofErr w:type="spellEnd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Астан, </w:t>
      </w:r>
      <w:proofErr w:type="spellStart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Макиева</w:t>
      </w:r>
      <w:proofErr w:type="spellEnd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получили грамоты за участие в городском конкурсе, посвященном творчеству </w:t>
      </w:r>
      <w:proofErr w:type="spellStart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Агкаев</w:t>
      </w:r>
      <w:proofErr w:type="spellEnd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 получил диплом 1 степени на международном творческом фестивале – конкурсе  « Ты лучший» в номинации Художественное слово; были организованы конкурсы поделок, посвя</w:t>
      </w:r>
      <w:r w:rsidR="000E6C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Дню защитника Отечества,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Победы,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 </w:t>
      </w:r>
      <w:proofErr w:type="spellStart"/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полета в космос </w:t>
      </w:r>
      <w:proofErr w:type="spellStart"/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Ю.А.Гагарина</w:t>
      </w:r>
      <w:proofErr w:type="spellEnd"/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праздничные мероприятия ко всем </w:t>
      </w:r>
      <w:proofErr w:type="spellStart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знаменатальным</w:t>
      </w:r>
      <w:proofErr w:type="spellEnd"/>
      <w:r w:rsidR="004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датам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6.Оценка качества библиотечно-информационного обеспечения</w:t>
      </w:r>
    </w:p>
    <w:p w:rsidR="006D5876" w:rsidRDefault="00A30B73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выставлялась на сайте Управления образования города Владикавказа.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Оценка качества материально-технической базы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СПДГ МБОУ СОШ № 48  постоянно работает над укреплением материально-технической базы и обеспечением учебно-воспитательного процесса. В 20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выполнены следующие р</w:t>
      </w:r>
      <w:r w:rsidR="00C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E36FB" w:rsidRPr="003E36FB" w:rsidRDefault="00CC0500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жесткого инвентаря (п</w:t>
      </w:r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 столовая</w:t>
      </w:r>
      <w:proofErr w:type="gramStart"/>
      <w:r w:rsidR="00A3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шкафы детские для раздевания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(Б/У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шт.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группах);</w:t>
      </w:r>
    </w:p>
    <w:p w:rsid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детские для музыкального зала – 6о шт.</w:t>
      </w:r>
    </w:p>
    <w:p w:rsidR="00FC6681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кроватки 3-х ярусные – 4шт.</w:t>
      </w:r>
    </w:p>
    <w:p w:rsidR="00FC6681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матрацы – 12 шт.</w:t>
      </w:r>
    </w:p>
    <w:p w:rsidR="00FC6681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подушки – 12 шт.</w:t>
      </w:r>
    </w:p>
    <w:p w:rsidR="00A30B73" w:rsidRDefault="00A30B73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2021-2022 учебный год планируется приобретение оборудования для 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физическому развитию (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A30B73" w:rsidRDefault="00A30B73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морозильная камера и холодильник;</w:t>
      </w:r>
    </w:p>
    <w:p w:rsidR="00A30B73" w:rsidRDefault="00A30B73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кухонная посуда; (кастрюли);</w:t>
      </w:r>
    </w:p>
    <w:p w:rsidR="003E36FB" w:rsidRDefault="00A30B73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люстры в актовый зал;</w:t>
      </w:r>
    </w:p>
    <w:p w:rsidR="00A30B73" w:rsidRDefault="00A30B73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краска малярная и водоэмульсионная 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ремонта)</w:t>
      </w:r>
    </w:p>
    <w:p w:rsidR="00FC6681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заменить постельное белье – все комплекты.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детского сада озеленена насаждениями. На территории 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имеются различные виды деревьев и кустарников, клумбы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детского сада светлое, имеется центральное отопление, вода, канализация, сантехническое оборудование в хорошем состоянии. Во всех групповых комнатах спальные комнаты отделены друг от игровых помещений.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структуру дошкольного образовательного пространства входят следующие компоненты:</w:t>
      </w:r>
    </w:p>
    <w:p w:rsidR="00FC6681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помещения – 2;</w:t>
      </w:r>
    </w:p>
    <w:p w:rsidR="003E36FB" w:rsidRPr="003E36FB" w:rsidRDefault="00FC6681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зал -1;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 – 1;</w:t>
      </w:r>
    </w:p>
    <w:p w:rsidR="00E944E2" w:rsidRDefault="003E36FB" w:rsidP="00D033D3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8.Оценка качества медицинского обеспечения, системы охраны здоровья воспитанников</w:t>
      </w:r>
    </w:p>
    <w:p w:rsidR="003E36FB" w:rsidRPr="003E36FB" w:rsidRDefault="003E36FB" w:rsidP="00D033D3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 осуществляет медсестра.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 контролирует режим и качество питания, соблюдение требований санитарно-эпидемиологических правил и норм, проводит профилактическую работу с детьми, сотрудниками и родителями. В осенне-зимний период осуществлялись мероприятия по подготовке детского организма к сезонным инфекциям (противогриппозная профилактика</w:t>
      </w:r>
      <w:r w:rsidR="000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фитотерапия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витаминотерапия)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4E2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следующие виды закаливания:</w:t>
      </w:r>
    </w:p>
    <w:p w:rsidR="003E36FB" w:rsidRPr="003E36FB" w:rsidRDefault="00E944E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витаминотерапия;</w:t>
      </w:r>
    </w:p>
    <w:p w:rsidR="003E36FB" w:rsidRPr="003E36FB" w:rsidRDefault="00E944E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зева водой комнатной температуры;</w:t>
      </w:r>
    </w:p>
    <w:p w:rsidR="003E36FB" w:rsidRPr="003E36FB" w:rsidRDefault="00E944E2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6FB"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ванны;</w:t>
      </w:r>
    </w:p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Анализ состояния здоровья воспитанников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проводится большая работа по формированию здорового образа жизни у детей</w:t>
      </w:r>
    </w:p>
    <w:p w:rsidR="003E36FB" w:rsidRPr="003E36FB" w:rsidRDefault="003E36FB" w:rsidP="00D033D3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</w:t>
      </w: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дана сравнительная таблица группы здоровья детей.</w:t>
      </w:r>
    </w:p>
    <w:p w:rsidR="00E944E2" w:rsidRDefault="00E944E2" w:rsidP="00D033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Сравнительная таблица группы здоровья детей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134"/>
        <w:gridCol w:w="1134"/>
        <w:gridCol w:w="992"/>
        <w:gridCol w:w="851"/>
        <w:gridCol w:w="850"/>
        <w:gridCol w:w="2554"/>
      </w:tblGrid>
      <w:tr w:rsidR="003E36FB" w:rsidRPr="003E36FB" w:rsidTr="003E36FB">
        <w:trPr>
          <w:trHeight w:val="315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Группы здоровья</w:t>
            </w:r>
          </w:p>
        </w:tc>
      </w:tr>
      <w:tr w:rsidR="003E36FB" w:rsidRPr="003E36FB" w:rsidTr="003E36FB"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E36FB" w:rsidRPr="003E36FB" w:rsidTr="003E36F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осмотрено</w:t>
            </w:r>
          </w:p>
        </w:tc>
      </w:tr>
      <w:tr w:rsidR="003E36FB" w:rsidRPr="003E36FB" w:rsidTr="003E36F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3E36FB" w:rsidRPr="003E36FB" w:rsidTr="003E36F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3E36FB" w:rsidRPr="003E36FB" w:rsidTr="003E36F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3E36FB" w:rsidRPr="003E36FB" w:rsidTr="003E36F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8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E36FB" w:rsidRPr="003E36FB" w:rsidTr="003E36FB">
        <w:trPr>
          <w:trHeight w:val="5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385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A110D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A110D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56989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  <w:r w:rsidR="003E36FB" w:rsidRPr="003E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C56989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A110DB" w:rsidP="00D033D3">
            <w:pPr>
              <w:spacing w:after="0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3E36FB" w:rsidRPr="003E36FB" w:rsidRDefault="003E36FB" w:rsidP="00D033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Default="00C56989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Мониторинг заболеваемости.</w:t>
      </w:r>
    </w:p>
    <w:p w:rsidR="00C56989" w:rsidRPr="00C56989" w:rsidRDefault="00C56989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Мониторинг заболеваемости проводится ежеквартально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отчетная информация поступает в Управление образования города Владикавказа.</w:t>
      </w:r>
    </w:p>
    <w:p w:rsidR="003E36FB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5000" w:type="pct"/>
        <w:tblInd w:w="-709" w:type="dxa"/>
        <w:tblLook w:val="04A0" w:firstRow="1" w:lastRow="0" w:firstColumn="1" w:lastColumn="0" w:noHBand="0" w:noVBand="1"/>
      </w:tblPr>
      <w:tblGrid>
        <w:gridCol w:w="2499"/>
        <w:gridCol w:w="7498"/>
      </w:tblGrid>
      <w:tr w:rsidR="00C56989" w:rsidTr="00C56989">
        <w:trPr>
          <w:trHeight w:val="345"/>
        </w:trPr>
        <w:tc>
          <w:tcPr>
            <w:tcW w:w="1250" w:type="pct"/>
          </w:tcPr>
          <w:p w:rsidR="00C56989" w:rsidRDefault="00C5698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750" w:type="pct"/>
          </w:tcPr>
          <w:p w:rsidR="00C56989" w:rsidRDefault="00C5698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дней одним ребенком по болезни</w:t>
            </w:r>
          </w:p>
        </w:tc>
      </w:tr>
      <w:tr w:rsidR="00C56989" w:rsidTr="00C56989">
        <w:trPr>
          <w:trHeight w:val="142"/>
        </w:trPr>
        <w:tc>
          <w:tcPr>
            <w:tcW w:w="12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7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 дней</w:t>
            </w:r>
          </w:p>
        </w:tc>
      </w:tr>
      <w:tr w:rsidR="00C56989" w:rsidTr="00C56989">
        <w:trPr>
          <w:trHeight w:val="180"/>
        </w:trPr>
        <w:tc>
          <w:tcPr>
            <w:tcW w:w="12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7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дня</w:t>
            </w:r>
          </w:p>
        </w:tc>
      </w:tr>
      <w:tr w:rsidR="00C56989" w:rsidTr="007F0699">
        <w:trPr>
          <w:trHeight w:val="112"/>
        </w:trPr>
        <w:tc>
          <w:tcPr>
            <w:tcW w:w="12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750" w:type="pct"/>
          </w:tcPr>
          <w:p w:rsidR="00C56989" w:rsidRDefault="007F0699" w:rsidP="00D033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11дней</w:t>
            </w:r>
          </w:p>
        </w:tc>
      </w:tr>
    </w:tbl>
    <w:p w:rsidR="00C56989" w:rsidRPr="003E36FB" w:rsidRDefault="00C56989" w:rsidP="00D033D3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FB" w:rsidRPr="003E36FB" w:rsidRDefault="003E36FB" w:rsidP="00D033D3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6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СПДГ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</w:t>
      </w:r>
      <w:r w:rsidR="00C56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9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разовое питание. Все продукты сопровождаются сертификатами качества.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закладкой продуктов питания, выходом готовых блюд, за санитарным состоянием пищеблока возлагается на медицинскую сестру. Инвентарь и посуда  </w:t>
      </w:r>
      <w:proofErr w:type="gram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промаркированы</w:t>
      </w:r>
      <w:proofErr w:type="gram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6FB" w:rsidRPr="003E36FB" w:rsidRDefault="003E36FB" w:rsidP="00D033D3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имеется вся необходимая документация по организации детского  питания. На пищеблоке имеется: </w:t>
      </w:r>
      <w:proofErr w:type="spellStart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журнал, журнал здоровья</w:t>
      </w:r>
      <w:r w:rsidR="00C5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журнал скоропортящихся продуктов</w:t>
      </w:r>
      <w:r w:rsidR="007F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B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витаминизации 3-х блюд</w:t>
      </w: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каждый день пишется меню-раскладка. Меню размещается ежедневно в родительских уголках.</w:t>
      </w:r>
    </w:p>
    <w:p w:rsidR="003E36FB" w:rsidRPr="003E36FB" w:rsidRDefault="003E36FB" w:rsidP="00D033D3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45" w:rightFromText="45" w:topFromText="75" w:bottomFromText="37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3E36FB" w:rsidRPr="003E36FB" w:rsidTr="003E36FB">
        <w:tc>
          <w:tcPr>
            <w:tcW w:w="0" w:type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D033D3">
            <w:pPr>
              <w:spacing w:after="0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E36FB" w:rsidRPr="003E36FB" w:rsidRDefault="006D5876" w:rsidP="00D033D3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="003E36FB"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Оценка </w:t>
      </w:r>
      <w:proofErr w:type="gramStart"/>
      <w:r w:rsidR="003E36FB"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15D30" w:rsidRPr="009655DF" w:rsidRDefault="003E36FB" w:rsidP="00D033D3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D033D3" w:rsidRDefault="00D033D3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33D3" w:rsidRDefault="00D033D3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33D3" w:rsidRDefault="00D033D3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Показатели деятельности СП ДГ МБОУ СОШ№ 48  на 01.01.20</w:t>
      </w:r>
      <w:r w:rsidR="003851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E36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</w:p>
    <w:tbl>
      <w:tblPr>
        <w:tblW w:w="10207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70"/>
        <w:gridCol w:w="1086"/>
      </w:tblGrid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Единица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измерения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воспитанников, осваивающих образовательную программу дошкольного </w:t>
            </w: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385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85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85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(8-12 часов)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85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продлённого дня (12ч)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коррекции недостатков в физическом</w:t>
            </w:r>
            <w:r w:rsidRPr="003E36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психическом развитии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дней</w:t>
            </w:r>
          </w:p>
        </w:tc>
      </w:tr>
      <w:tr w:rsidR="003E36FB" w:rsidRPr="003E36FB" w:rsidTr="003E36F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</w:t>
            </w:r>
          </w:p>
        </w:tc>
      </w:tr>
      <w:tr w:rsidR="003E36FB" w:rsidRPr="003E36FB" w:rsidTr="003E36FB">
        <w:trPr>
          <w:trHeight w:val="70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36FB" w:rsidRPr="003E36FB" w:rsidRDefault="003E36FB" w:rsidP="003E36F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человек,</w:t>
            </w:r>
          </w:p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человека,</w:t>
            </w:r>
          </w:p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человека,</w:t>
            </w:r>
          </w:p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14.28 %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человек,</w:t>
            </w:r>
          </w:p>
          <w:p w:rsidR="003E36FB" w:rsidRPr="003E36FB" w:rsidRDefault="00385107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14.28</w:t>
            </w:r>
            <w:r w:rsidR="003E36FB"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E36FB" w:rsidRPr="003E36FB" w:rsidTr="003E36FB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 работы которых составляет: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14.28 %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человека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14.28 %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28.6 %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2человека,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28.6 %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6DBAE5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человека,</w:t>
            </w:r>
          </w:p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 человека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E61D7E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3.87 </w:t>
            </w:r>
            <w:proofErr w:type="spell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 </w:t>
            </w:r>
            <w:proofErr w:type="spellStart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36FB" w:rsidRPr="003E36FB" w:rsidTr="003E3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3E36FB" w:rsidRPr="003E36FB" w:rsidTr="003E36FB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E36FB" w:rsidRPr="003E36FB" w:rsidTr="003E36FB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3E36FB" w:rsidRPr="003E36FB" w:rsidRDefault="003E36FB" w:rsidP="003E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3E36FB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3E36FB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36FB" w:rsidRPr="003E36FB" w:rsidRDefault="003E36FB" w:rsidP="003E36F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4D8" w:rsidRDefault="006B64D8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 w:rsidP="009655DF">
      <w:pPr>
        <w:spacing w:after="0" w:line="240" w:lineRule="auto"/>
        <w:jc w:val="both"/>
      </w:pPr>
      <w:r w:rsidRPr="003E36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p w:rsidR="006741EB" w:rsidRDefault="006741EB"/>
    <w:sectPr w:rsidR="006741EB" w:rsidSect="00D033D3">
      <w:pgSz w:w="11906" w:h="16838"/>
      <w:pgMar w:top="284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D3" w:rsidRDefault="00D033D3" w:rsidP="006741EB">
      <w:pPr>
        <w:spacing w:after="0" w:line="240" w:lineRule="auto"/>
      </w:pPr>
      <w:r>
        <w:separator/>
      </w:r>
    </w:p>
  </w:endnote>
  <w:endnote w:type="continuationSeparator" w:id="0">
    <w:p w:rsidR="00D033D3" w:rsidRDefault="00D033D3" w:rsidP="006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D3" w:rsidRDefault="00D033D3" w:rsidP="006741EB">
      <w:pPr>
        <w:spacing w:after="0" w:line="240" w:lineRule="auto"/>
      </w:pPr>
      <w:r>
        <w:separator/>
      </w:r>
    </w:p>
  </w:footnote>
  <w:footnote w:type="continuationSeparator" w:id="0">
    <w:p w:rsidR="00D033D3" w:rsidRDefault="00D033D3" w:rsidP="00674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B"/>
    <w:rsid w:val="00015D30"/>
    <w:rsid w:val="000446F8"/>
    <w:rsid w:val="00046C04"/>
    <w:rsid w:val="000E6C40"/>
    <w:rsid w:val="001C302E"/>
    <w:rsid w:val="00282A2E"/>
    <w:rsid w:val="0032093F"/>
    <w:rsid w:val="00385107"/>
    <w:rsid w:val="003B4000"/>
    <w:rsid w:val="003E36FB"/>
    <w:rsid w:val="004471FF"/>
    <w:rsid w:val="004569DD"/>
    <w:rsid w:val="004729A2"/>
    <w:rsid w:val="004A2E37"/>
    <w:rsid w:val="004A3836"/>
    <w:rsid w:val="0054112D"/>
    <w:rsid w:val="00585B15"/>
    <w:rsid w:val="006741EB"/>
    <w:rsid w:val="00693B7C"/>
    <w:rsid w:val="006B64D8"/>
    <w:rsid w:val="006D5876"/>
    <w:rsid w:val="007243BE"/>
    <w:rsid w:val="00724D86"/>
    <w:rsid w:val="007F0699"/>
    <w:rsid w:val="00812B5F"/>
    <w:rsid w:val="00815419"/>
    <w:rsid w:val="0084480E"/>
    <w:rsid w:val="00896AE7"/>
    <w:rsid w:val="008E0410"/>
    <w:rsid w:val="008F347D"/>
    <w:rsid w:val="0096038D"/>
    <w:rsid w:val="009655DF"/>
    <w:rsid w:val="00994194"/>
    <w:rsid w:val="009F3440"/>
    <w:rsid w:val="00A10E82"/>
    <w:rsid w:val="00A110DB"/>
    <w:rsid w:val="00A30B73"/>
    <w:rsid w:val="00A56B0D"/>
    <w:rsid w:val="00AC5AD2"/>
    <w:rsid w:val="00B31144"/>
    <w:rsid w:val="00BE1ADB"/>
    <w:rsid w:val="00BF7E90"/>
    <w:rsid w:val="00C33631"/>
    <w:rsid w:val="00C56989"/>
    <w:rsid w:val="00C82DFE"/>
    <w:rsid w:val="00CB79FC"/>
    <w:rsid w:val="00CC0500"/>
    <w:rsid w:val="00CE2DAA"/>
    <w:rsid w:val="00D033D3"/>
    <w:rsid w:val="00DC54E4"/>
    <w:rsid w:val="00E05A78"/>
    <w:rsid w:val="00E61D7E"/>
    <w:rsid w:val="00E944E2"/>
    <w:rsid w:val="00EA05C5"/>
    <w:rsid w:val="00F80AF4"/>
    <w:rsid w:val="00FC0CBD"/>
    <w:rsid w:val="00FC6681"/>
    <w:rsid w:val="00FE38D1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36FB"/>
  </w:style>
  <w:style w:type="character" w:styleId="a3">
    <w:name w:val="Hyperlink"/>
    <w:basedOn w:val="a0"/>
    <w:uiPriority w:val="99"/>
    <w:semiHidden/>
    <w:unhideWhenUsed/>
    <w:rsid w:val="003E3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6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E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6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6F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6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py">
    <w:name w:val="copy"/>
    <w:basedOn w:val="a"/>
    <w:uiPriority w:val="99"/>
    <w:semiHidden/>
    <w:rsid w:val="003E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-version-link">
    <w:name w:val="blind-version-link"/>
    <w:basedOn w:val="a0"/>
    <w:rsid w:val="003E36FB"/>
  </w:style>
  <w:style w:type="character" w:customStyle="1" w:styleId="ltc">
    <w:name w:val="lt_c"/>
    <w:basedOn w:val="a0"/>
    <w:rsid w:val="003E36FB"/>
  </w:style>
  <w:style w:type="character" w:customStyle="1" w:styleId="rtc">
    <w:name w:val="rt_c"/>
    <w:basedOn w:val="a0"/>
    <w:rsid w:val="003E36FB"/>
  </w:style>
  <w:style w:type="character" w:customStyle="1" w:styleId="lbc">
    <w:name w:val="lb_c"/>
    <w:basedOn w:val="a0"/>
    <w:rsid w:val="003E36FB"/>
  </w:style>
  <w:style w:type="character" w:customStyle="1" w:styleId="rbc">
    <w:name w:val="rb_c"/>
    <w:basedOn w:val="a0"/>
    <w:rsid w:val="003E36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6FB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6FB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6FB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6FB"/>
    <w:rPr>
      <w:rFonts w:ascii="Arial" w:eastAsia="Calibri" w:hAnsi="Arial" w:cs="Arial"/>
      <w:vanish/>
      <w:sz w:val="16"/>
      <w:szCs w:val="16"/>
    </w:rPr>
  </w:style>
  <w:style w:type="table" w:styleId="a9">
    <w:name w:val="Table Grid"/>
    <w:basedOn w:val="a1"/>
    <w:uiPriority w:val="59"/>
    <w:rsid w:val="00C5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1EB"/>
  </w:style>
  <w:style w:type="paragraph" w:styleId="ac">
    <w:name w:val="footer"/>
    <w:basedOn w:val="a"/>
    <w:link w:val="ad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36FB"/>
  </w:style>
  <w:style w:type="character" w:styleId="a3">
    <w:name w:val="Hyperlink"/>
    <w:basedOn w:val="a0"/>
    <w:uiPriority w:val="99"/>
    <w:semiHidden/>
    <w:unhideWhenUsed/>
    <w:rsid w:val="003E3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6F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E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6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6F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6F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py">
    <w:name w:val="copy"/>
    <w:basedOn w:val="a"/>
    <w:uiPriority w:val="99"/>
    <w:semiHidden/>
    <w:rsid w:val="003E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-version-link">
    <w:name w:val="blind-version-link"/>
    <w:basedOn w:val="a0"/>
    <w:rsid w:val="003E36FB"/>
  </w:style>
  <w:style w:type="character" w:customStyle="1" w:styleId="ltc">
    <w:name w:val="lt_c"/>
    <w:basedOn w:val="a0"/>
    <w:rsid w:val="003E36FB"/>
  </w:style>
  <w:style w:type="character" w:customStyle="1" w:styleId="rtc">
    <w:name w:val="rt_c"/>
    <w:basedOn w:val="a0"/>
    <w:rsid w:val="003E36FB"/>
  </w:style>
  <w:style w:type="character" w:customStyle="1" w:styleId="lbc">
    <w:name w:val="lb_c"/>
    <w:basedOn w:val="a0"/>
    <w:rsid w:val="003E36FB"/>
  </w:style>
  <w:style w:type="character" w:customStyle="1" w:styleId="rbc">
    <w:name w:val="rb_c"/>
    <w:basedOn w:val="a0"/>
    <w:rsid w:val="003E36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6FB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6FB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6FB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6FB"/>
    <w:rPr>
      <w:rFonts w:ascii="Arial" w:eastAsia="Calibri" w:hAnsi="Arial" w:cs="Arial"/>
      <w:vanish/>
      <w:sz w:val="16"/>
      <w:szCs w:val="16"/>
    </w:rPr>
  </w:style>
  <w:style w:type="table" w:styleId="a9">
    <w:name w:val="Table Grid"/>
    <w:basedOn w:val="a1"/>
    <w:uiPriority w:val="59"/>
    <w:rsid w:val="00C5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1EB"/>
  </w:style>
  <w:style w:type="paragraph" w:styleId="ac">
    <w:name w:val="footer"/>
    <w:basedOn w:val="a"/>
    <w:link w:val="ad"/>
    <w:uiPriority w:val="99"/>
    <w:unhideWhenUsed/>
    <w:rsid w:val="0067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23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48</dc:creator>
  <cp:lastModifiedBy>УЧЕНИК</cp:lastModifiedBy>
  <cp:revision>13</cp:revision>
  <cp:lastPrinted>2021-06-22T14:21:00Z</cp:lastPrinted>
  <dcterms:created xsi:type="dcterms:W3CDTF">2021-05-06T09:12:00Z</dcterms:created>
  <dcterms:modified xsi:type="dcterms:W3CDTF">2021-06-22T14:25:00Z</dcterms:modified>
</cp:coreProperties>
</file>